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9E53" w14:textId="77777777" w:rsidR="00F653A2" w:rsidRDefault="00F653A2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147583A3" w14:textId="77777777" w:rsidR="00F653A2" w:rsidRDefault="00F653A2">
      <w:pPr>
        <w:ind w:left="6763"/>
        <w:rPr>
          <w:rFonts w:ascii="Times New Roman" w:eastAsia="Times New Roman" w:hAnsi="Times New Roman" w:cs="Times New Roman"/>
          <w:sz w:val="20"/>
          <w:szCs w:val="20"/>
        </w:rPr>
      </w:pPr>
    </w:p>
    <w:p w14:paraId="7B47C181" w14:textId="77777777" w:rsidR="00F653A2" w:rsidRDefault="00F653A2">
      <w:pPr>
        <w:spacing w:before="1"/>
        <w:rPr>
          <w:rFonts w:ascii="Times New Roman" w:eastAsia="Times New Roman" w:hAnsi="Times New Roman" w:cs="Times New Roman"/>
          <w:sz w:val="4"/>
          <w:szCs w:val="4"/>
        </w:rPr>
      </w:pPr>
    </w:p>
    <w:p w14:paraId="0AD76209" w14:textId="77777777" w:rsidR="00F653A2" w:rsidRDefault="00000000">
      <w:pPr>
        <w:spacing w:before="34"/>
        <w:jc w:val="center"/>
        <w:rPr>
          <w:rFonts w:eastAsia="Calibri"/>
          <w:color w:val="943734"/>
          <w:sz w:val="32"/>
          <w:szCs w:val="32"/>
        </w:rPr>
      </w:pPr>
      <w:r>
        <w:rPr>
          <w:rFonts w:eastAsia="Calibri"/>
          <w:b/>
          <w:color w:val="943734"/>
          <w:sz w:val="32"/>
          <w:szCs w:val="32"/>
        </w:rPr>
        <w:t>Evaluation Rubric: Program Assessment of Student Learning</w:t>
      </w:r>
    </w:p>
    <w:p w14:paraId="03D8A39A" w14:textId="77777777" w:rsidR="00F653A2" w:rsidRDefault="00F653A2">
      <w:pPr>
        <w:spacing w:before="9"/>
        <w:rPr>
          <w:rFonts w:eastAsia="Calibri"/>
          <w:b/>
          <w:i/>
          <w:sz w:val="6"/>
          <w:szCs w:val="6"/>
        </w:rPr>
      </w:pPr>
    </w:p>
    <w:tbl>
      <w:tblPr>
        <w:tblStyle w:val="a"/>
        <w:tblW w:w="11700" w:type="dxa"/>
        <w:tblLayout w:type="fixed"/>
        <w:tblLook w:val="0000" w:firstRow="0" w:lastRow="0" w:firstColumn="0" w:lastColumn="0" w:noHBand="0" w:noVBand="0"/>
      </w:tblPr>
      <w:tblGrid>
        <w:gridCol w:w="4131"/>
        <w:gridCol w:w="1179"/>
        <w:gridCol w:w="1350"/>
        <w:gridCol w:w="1170"/>
        <w:gridCol w:w="3870"/>
      </w:tblGrid>
      <w:tr w:rsidR="00F653A2" w14:paraId="3749FA69" w14:textId="77777777" w:rsidTr="00CA1A7B">
        <w:trPr>
          <w:trHeight w:val="402"/>
        </w:trPr>
        <w:tc>
          <w:tcPr>
            <w:tcW w:w="4131" w:type="dxa"/>
            <w:tcBorders>
              <w:top w:val="single" w:sz="6" w:space="0" w:color="000000"/>
              <w:left w:val="nil"/>
              <w:bottom w:val="single" w:sz="2" w:space="0" w:color="auto"/>
              <w:right w:val="nil"/>
            </w:tcBorders>
          </w:tcPr>
          <w:p w14:paraId="2909047E" w14:textId="77777777" w:rsidR="00F653A2" w:rsidRDefault="00000000">
            <w:r>
              <w:rPr>
                <w:b/>
                <w:i/>
                <w:color w:val="000000"/>
                <w:u w:val="single"/>
              </w:rPr>
              <w:t>Program/degree being evaluated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2" w:space="0" w:color="auto"/>
              <w:right w:val="nil"/>
            </w:tcBorders>
          </w:tcPr>
          <w:p w14:paraId="59FE1C6E" w14:textId="77777777" w:rsidR="00F653A2" w:rsidRDefault="00F653A2"/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2" w:space="0" w:color="auto"/>
              <w:right w:val="nil"/>
            </w:tcBorders>
          </w:tcPr>
          <w:p w14:paraId="04958CD2" w14:textId="77777777" w:rsidR="00F653A2" w:rsidRDefault="00F653A2"/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2" w:space="0" w:color="auto"/>
              <w:right w:val="nil"/>
            </w:tcBorders>
          </w:tcPr>
          <w:p w14:paraId="7847F421" w14:textId="77777777" w:rsidR="00F653A2" w:rsidRDefault="00F653A2"/>
        </w:tc>
        <w:tc>
          <w:tcPr>
            <w:tcW w:w="3870" w:type="dxa"/>
            <w:tcBorders>
              <w:top w:val="single" w:sz="6" w:space="0" w:color="000000"/>
              <w:left w:val="nil"/>
              <w:bottom w:val="single" w:sz="2" w:space="0" w:color="auto"/>
              <w:right w:val="nil"/>
            </w:tcBorders>
          </w:tcPr>
          <w:p w14:paraId="7B6D9DC1" w14:textId="77777777" w:rsidR="00F653A2" w:rsidRDefault="00000000">
            <w:r>
              <w:rPr>
                <w:b/>
                <w:i/>
                <w:color w:val="000000"/>
                <w:u w:val="single"/>
              </w:rPr>
              <w:t>Academic Year:</w:t>
            </w:r>
          </w:p>
        </w:tc>
      </w:tr>
      <w:tr w:rsidR="00F653A2" w14:paraId="225C1A91" w14:textId="77777777" w:rsidTr="00CA1A7B">
        <w:trPr>
          <w:trHeight w:val="686"/>
        </w:trPr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186D61" w14:textId="77777777" w:rsidR="00F653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2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28F6E8" w14:textId="77777777" w:rsidR="00F653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5" w:right="21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Achieving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9505DC" w14:textId="77777777" w:rsidR="00F653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5" w:right="21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Progressing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60EB21F" w14:textId="77777777" w:rsidR="00F653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5" w:right="21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Emerging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D429FF" w14:textId="77777777" w:rsidR="00F653A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7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Comments &amp; Recommendations</w:t>
            </w:r>
          </w:p>
        </w:tc>
      </w:tr>
      <w:tr w:rsidR="00CA1A7B" w14:paraId="507CA7FA" w14:textId="77777777" w:rsidTr="00CA1A7B">
        <w:trPr>
          <w:trHeight w:val="359"/>
        </w:trPr>
        <w:tc>
          <w:tcPr>
            <w:tcW w:w="11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89D05" w14:textId="4CE30FCF" w:rsidR="00CA1A7B" w:rsidRDefault="00CA1A7B" w:rsidP="00CA1A7B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Regarding</w:t>
            </w:r>
            <w:r w:rsidRPr="00CA1A7B">
              <w:rPr>
                <w:b/>
                <w:bCs/>
                <w:i/>
                <w:iCs/>
                <w:sz w:val="20"/>
                <w:szCs w:val="20"/>
              </w:rPr>
              <w:t xml:space="preserve"> the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current year’s </w:t>
            </w:r>
            <w:r w:rsidRPr="00CA1A7B">
              <w:rPr>
                <w:b/>
                <w:bCs/>
                <w:i/>
                <w:iCs/>
                <w:sz w:val="20"/>
                <w:szCs w:val="20"/>
                <w:u w:val="single"/>
              </w:rPr>
              <w:t>Assessment Plan</w:t>
            </w:r>
            <w:r w:rsidRPr="00CA1A7B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CA1A7B" w14:paraId="7AD59D51" w14:textId="77777777" w:rsidTr="00CA1A7B"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3FB20" w14:textId="77777777" w:rsidR="00CA1A7B" w:rsidRDefault="00CA1A7B" w:rsidP="00CA1A7B">
            <w:pPr>
              <w:spacing w:before="118"/>
              <w:ind w:left="102" w:right="216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a</w:t>
            </w:r>
            <w:r>
              <w:rPr>
                <w:rFonts w:eastAsia="Calibri"/>
                <w:color w:val="000000"/>
                <w:sz w:val="20"/>
                <w:szCs w:val="20"/>
              </w:rPr>
              <w:t>. Mission statement is complete and reflects alignment with institutional mission.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5DB48" w14:textId="77777777" w:rsidR="00CA1A7B" w:rsidRDefault="00CA1A7B" w:rsidP="00CA1A7B">
            <w:pPr>
              <w:tabs>
                <w:tab w:val="left" w:pos="352"/>
              </w:tabs>
              <w:spacing w:before="36"/>
              <w:ind w:left="360" w:hanging="35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A3F23" w14:textId="77777777" w:rsidR="00CA1A7B" w:rsidRDefault="00CA1A7B" w:rsidP="00CA1A7B">
            <w:pPr>
              <w:tabs>
                <w:tab w:val="left" w:pos="352"/>
              </w:tabs>
              <w:spacing w:before="118"/>
              <w:ind w:left="360" w:hanging="3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4DD6E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right="82"/>
              <w:jc w:val="center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BC40" w14:textId="77777777" w:rsidR="00CA1A7B" w:rsidRDefault="00CA1A7B" w:rsidP="00CA1A7B"/>
        </w:tc>
      </w:tr>
      <w:tr w:rsidR="00CA1A7B" w14:paraId="66160F5B" w14:textId="77777777" w:rsidTr="00CA1A7B"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123DC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2" w:right="216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b</w:t>
            </w:r>
            <w:r>
              <w:rPr>
                <w:rFonts w:eastAsia="Calibri"/>
                <w:color w:val="000000"/>
                <w:sz w:val="20"/>
                <w:szCs w:val="20"/>
              </w:rPr>
              <w:t>. Learning outcomes are specific, measurable, and observable.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99D70" w14:textId="77777777" w:rsidR="00CA1A7B" w:rsidRDefault="00CA1A7B" w:rsidP="00CA1A7B">
            <w:pPr>
              <w:tabs>
                <w:tab w:val="left" w:pos="360"/>
              </w:tabs>
              <w:spacing w:before="36"/>
              <w:ind w:left="360" w:hanging="35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9CEE5" w14:textId="77777777" w:rsidR="00CA1A7B" w:rsidRDefault="00CA1A7B" w:rsidP="00CA1A7B">
            <w:pPr>
              <w:tabs>
                <w:tab w:val="left" w:pos="352"/>
              </w:tabs>
              <w:spacing w:before="118"/>
              <w:ind w:left="360" w:hanging="3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2EEC0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i/>
                <w:color w:val="000000"/>
                <w:sz w:val="19"/>
                <w:szCs w:val="19"/>
              </w:rPr>
            </w:pPr>
          </w:p>
          <w:p w14:paraId="743E0121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center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56D6" w14:textId="77777777" w:rsidR="00CA1A7B" w:rsidRDefault="00CA1A7B" w:rsidP="00CA1A7B"/>
        </w:tc>
      </w:tr>
      <w:tr w:rsidR="00CA1A7B" w14:paraId="391CC1F1" w14:textId="77777777" w:rsidTr="00CA1A7B">
        <w:trPr>
          <w:trHeight w:val="610"/>
        </w:trPr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57F810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2" w:right="216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c</w:t>
            </w:r>
            <w:r>
              <w:rPr>
                <w:rFonts w:eastAsia="Calibri"/>
                <w:color w:val="000000"/>
                <w:sz w:val="20"/>
                <w:szCs w:val="20"/>
              </w:rPr>
              <w:t>. Learning outcomes are written from the student perspective (“Students will…”)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6E22" w14:textId="77777777" w:rsidR="00CA1A7B" w:rsidRDefault="00CA1A7B" w:rsidP="00CA1A7B">
            <w:pPr>
              <w:tabs>
                <w:tab w:val="left" w:pos="352"/>
              </w:tabs>
              <w:spacing w:before="36"/>
              <w:ind w:left="360" w:hanging="356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CC9D" w14:textId="77777777" w:rsidR="00CA1A7B" w:rsidRDefault="00CA1A7B" w:rsidP="00CA1A7B">
            <w:pPr>
              <w:tabs>
                <w:tab w:val="left" w:pos="352"/>
              </w:tabs>
              <w:spacing w:before="118"/>
              <w:ind w:left="360" w:hanging="36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3A110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right="82"/>
              <w:jc w:val="center"/>
              <w:rPr>
                <w:rFonts w:ascii="Noto Sans Symbols" w:eastAsia="Noto Sans Symbols" w:hAnsi="Noto Sans Symbols" w:cs="Noto Sans Symbols"/>
                <w:b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6D095" w14:textId="77777777" w:rsidR="00CA1A7B" w:rsidRDefault="00CA1A7B" w:rsidP="00CA1A7B">
            <w:pPr>
              <w:rPr>
                <w:b/>
              </w:rPr>
            </w:pPr>
          </w:p>
        </w:tc>
      </w:tr>
      <w:tr w:rsidR="00CA1A7B" w14:paraId="671EDDA6" w14:textId="77777777" w:rsidTr="00CA1A7B"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8FDEA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2" w:right="216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d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. Artifacts of student learning are intentionally designed to </w:t>
            </w:r>
            <w:r>
              <w:rPr>
                <w:rFonts w:eastAsia="Calibri"/>
                <w:i/>
                <w:color w:val="000000"/>
                <w:sz w:val="20"/>
                <w:szCs w:val="20"/>
              </w:rPr>
              <w:t xml:space="preserve">directly </w:t>
            </w:r>
            <w:r>
              <w:rPr>
                <w:rFonts w:eastAsia="Calibri"/>
                <w:color w:val="000000"/>
                <w:sz w:val="20"/>
                <w:szCs w:val="20"/>
              </w:rPr>
              <w:t>evidence student achievement of a particular learning outcome(s).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1B8CC" w14:textId="77777777" w:rsidR="00CA1A7B" w:rsidRDefault="00CA1A7B" w:rsidP="00CA1A7B">
            <w:pPr>
              <w:tabs>
                <w:tab w:val="left" w:pos="352"/>
              </w:tabs>
              <w:spacing w:before="36"/>
              <w:ind w:left="360" w:hanging="356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B4C31" w14:textId="77777777" w:rsidR="00CA1A7B" w:rsidRDefault="00CA1A7B" w:rsidP="00CA1A7B">
            <w:pPr>
              <w:tabs>
                <w:tab w:val="left" w:pos="352"/>
              </w:tabs>
              <w:spacing w:before="118"/>
              <w:ind w:left="360" w:hanging="36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6C4BA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right="82"/>
              <w:jc w:val="center"/>
              <w:rPr>
                <w:rFonts w:ascii="Noto Sans Symbols" w:eastAsia="Noto Sans Symbols" w:hAnsi="Noto Sans Symbols" w:cs="Noto Sans Symbols"/>
                <w:b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CDA3" w14:textId="77777777" w:rsidR="00CA1A7B" w:rsidRDefault="00CA1A7B" w:rsidP="00CA1A7B">
            <w:pPr>
              <w:rPr>
                <w:b/>
              </w:rPr>
            </w:pPr>
          </w:p>
        </w:tc>
      </w:tr>
      <w:tr w:rsidR="00CA1A7B" w14:paraId="22F62C70" w14:textId="77777777" w:rsidTr="00CA1A7B"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A17D3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2" w:right="216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e</w:t>
            </w:r>
            <w:r>
              <w:rPr>
                <w:rFonts w:eastAsia="Calibri"/>
                <w:color w:val="000000"/>
                <w:sz w:val="20"/>
                <w:szCs w:val="20"/>
              </w:rPr>
              <w:t>. Artifacts of student learning include students’ most advanced work toward the learning outcome.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0D06C" w14:textId="77777777" w:rsidR="00CA1A7B" w:rsidRDefault="00CA1A7B" w:rsidP="00CA1A7B">
            <w:pPr>
              <w:tabs>
                <w:tab w:val="left" w:pos="352"/>
              </w:tabs>
              <w:spacing w:before="36"/>
              <w:ind w:left="360" w:hanging="35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87FBF" w14:textId="77777777" w:rsidR="00CA1A7B" w:rsidRDefault="00CA1A7B" w:rsidP="00CA1A7B">
            <w:pPr>
              <w:tabs>
                <w:tab w:val="left" w:pos="352"/>
              </w:tabs>
              <w:spacing w:before="118"/>
              <w:ind w:left="360" w:hanging="3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9AB49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right="82"/>
              <w:jc w:val="center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F4BF" w14:textId="77777777" w:rsidR="00CA1A7B" w:rsidRDefault="00CA1A7B" w:rsidP="00CA1A7B"/>
        </w:tc>
      </w:tr>
      <w:tr w:rsidR="00CA1A7B" w14:paraId="0E316245" w14:textId="77777777" w:rsidTr="00CA1A7B"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3917D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2" w:right="216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f</w:t>
            </w:r>
            <w:r>
              <w:rPr>
                <w:rFonts w:eastAsia="Calibri"/>
                <w:color w:val="000000"/>
                <w:sz w:val="20"/>
                <w:szCs w:val="20"/>
              </w:rPr>
              <w:t>. A few outcomes are assessed each year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Calibri"/>
                <w:color w:val="000000"/>
                <w:sz w:val="20"/>
                <w:szCs w:val="20"/>
              </w:rPr>
              <w:t>a reasonable cycle ensures meaningful assessment and manageability).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14937" w14:textId="77777777" w:rsidR="00CA1A7B" w:rsidRDefault="00CA1A7B" w:rsidP="00CA1A7B">
            <w:pPr>
              <w:tabs>
                <w:tab w:val="left" w:pos="352"/>
              </w:tabs>
              <w:spacing w:before="36"/>
              <w:ind w:left="360" w:hanging="35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2B6E5" w14:textId="77777777" w:rsidR="00CA1A7B" w:rsidRDefault="00CA1A7B" w:rsidP="00CA1A7B">
            <w:pPr>
              <w:tabs>
                <w:tab w:val="left" w:pos="352"/>
              </w:tabs>
              <w:spacing w:before="118"/>
              <w:ind w:left="360" w:hanging="3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F48F5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right="82"/>
              <w:jc w:val="center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A9B4" w14:textId="77777777" w:rsidR="00CA1A7B" w:rsidRDefault="00CA1A7B" w:rsidP="00CA1A7B"/>
        </w:tc>
      </w:tr>
      <w:tr w:rsidR="00CA1A7B" w14:paraId="7F718CA7" w14:textId="77777777" w:rsidTr="00CA1A7B"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3988E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2" w:right="216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g</w:t>
            </w:r>
            <w:r>
              <w:rPr>
                <w:rFonts w:eastAsia="Calibri"/>
                <w:color w:val="000000"/>
                <w:sz w:val="20"/>
                <w:szCs w:val="20"/>
              </w:rPr>
              <w:t>. Methods of analysis for student learning data are appropriate to the outcome (program includes rubrics, if applicable).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04EDD" w14:textId="77777777" w:rsidR="00CA1A7B" w:rsidRDefault="00CA1A7B" w:rsidP="00CA1A7B">
            <w:pPr>
              <w:tabs>
                <w:tab w:val="left" w:pos="352"/>
              </w:tabs>
              <w:spacing w:before="36"/>
              <w:ind w:left="360" w:hanging="35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E2E81" w14:textId="77777777" w:rsidR="00CA1A7B" w:rsidRDefault="00CA1A7B" w:rsidP="00CA1A7B">
            <w:pPr>
              <w:tabs>
                <w:tab w:val="left" w:pos="352"/>
              </w:tabs>
              <w:spacing w:before="118"/>
              <w:ind w:left="360" w:hanging="3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AE9E0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right="82"/>
              <w:jc w:val="center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F625" w14:textId="77777777" w:rsidR="00CA1A7B" w:rsidRDefault="00CA1A7B" w:rsidP="00CA1A7B"/>
        </w:tc>
      </w:tr>
      <w:tr w:rsidR="00CA1A7B" w14:paraId="46C40D11" w14:textId="77777777" w:rsidTr="00CA1A7B">
        <w:trPr>
          <w:trHeight w:val="350"/>
        </w:trPr>
        <w:tc>
          <w:tcPr>
            <w:tcW w:w="11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844CC" w14:textId="3C83836B" w:rsidR="00CA1A7B" w:rsidRPr="00CA1A7B" w:rsidRDefault="00CA1A7B" w:rsidP="00CA1A7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Regarding</w:t>
            </w:r>
            <w:r w:rsidRPr="00CA1A7B">
              <w:rPr>
                <w:b/>
                <w:bCs/>
                <w:i/>
                <w:iCs/>
                <w:sz w:val="20"/>
                <w:szCs w:val="20"/>
              </w:rPr>
              <w:t xml:space="preserve"> the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past year’s </w:t>
            </w:r>
            <w:r w:rsidRPr="00CA1A7B">
              <w:rPr>
                <w:b/>
                <w:bCs/>
                <w:i/>
                <w:iCs/>
                <w:sz w:val="20"/>
                <w:szCs w:val="20"/>
                <w:u w:val="single"/>
              </w:rPr>
              <w:t>Assessment Report</w:t>
            </w:r>
            <w:r w:rsidRPr="00CA1A7B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CA1A7B" w14:paraId="42D9A3A7" w14:textId="77777777" w:rsidTr="00CA1A7B"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DF11C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2" w:right="216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h</w:t>
            </w:r>
            <w:r>
              <w:rPr>
                <w:rFonts w:eastAsia="Calibri"/>
                <w:color w:val="000000"/>
                <w:sz w:val="20"/>
                <w:szCs w:val="20"/>
              </w:rPr>
              <w:t>. Analysis of student learning data identifies learning gaps and possible curricular or pedagogical remedies.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789B9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spacing w:before="36"/>
              <w:ind w:left="351" w:hanging="35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B7425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spacing w:before="118"/>
              <w:ind w:left="351" w:hanging="36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385B0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right="82"/>
              <w:jc w:val="center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6709" w14:textId="77777777" w:rsidR="00CA1A7B" w:rsidRDefault="00CA1A7B" w:rsidP="00CA1A7B"/>
        </w:tc>
      </w:tr>
      <w:tr w:rsidR="00CA1A7B" w14:paraId="3A1CC603" w14:textId="77777777" w:rsidTr="00CA1A7B"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82046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2" w:right="216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>. Analysis of student learning data identifies successful student achievement of outcomes and associated strengths of curriculum and pedagogy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AF8C4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spacing w:before="36"/>
              <w:ind w:left="351" w:hanging="356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66127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spacing w:before="120"/>
              <w:ind w:left="351" w:hanging="36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9E8DE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</w:p>
          <w:p w14:paraId="11873C02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center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C46A" w14:textId="77777777" w:rsidR="00CA1A7B" w:rsidRDefault="00CA1A7B" w:rsidP="00CA1A7B"/>
        </w:tc>
      </w:tr>
      <w:tr w:rsidR="00CA1A7B" w14:paraId="04D231F8" w14:textId="77777777" w:rsidTr="00CA1A7B"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54112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6" w:right="216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j.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The program reflects on the impact of recommended changes from past cycles (if applicable) on student achievement during this cycle. (“Closing the loop”)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E4388" w14:textId="77777777" w:rsidR="00CA1A7B" w:rsidRDefault="00CA1A7B" w:rsidP="00CA1A7B">
            <w:pPr>
              <w:tabs>
                <w:tab w:val="left" w:pos="352"/>
              </w:tabs>
              <w:spacing w:before="3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172C7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</w:tabs>
              <w:ind w:left="351" w:hanging="36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D02E1" w14:textId="77777777" w:rsidR="00CA1A7B" w:rsidRDefault="00CA1A7B" w:rsidP="00CA1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82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4044" w14:textId="77777777" w:rsidR="00CA1A7B" w:rsidRDefault="00CA1A7B" w:rsidP="00CA1A7B"/>
        </w:tc>
      </w:tr>
    </w:tbl>
    <w:p w14:paraId="0ED3B297" w14:textId="77777777" w:rsidR="00F653A2" w:rsidRDefault="00F653A2">
      <w:pPr>
        <w:ind w:right="3130"/>
      </w:pPr>
    </w:p>
    <w:p w14:paraId="6A7706DF" w14:textId="77777777" w:rsidR="00F653A2" w:rsidRDefault="00F653A2">
      <w:pPr>
        <w:ind w:right="3130"/>
        <w:rPr>
          <w:b/>
        </w:rPr>
      </w:pPr>
    </w:p>
    <w:p w14:paraId="734F85CE" w14:textId="77777777" w:rsidR="00F653A2" w:rsidRDefault="00000000">
      <w:pPr>
        <w:ind w:right="31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Additional comments regarding items </w:t>
      </w:r>
      <w:r>
        <w:rPr>
          <w:b/>
          <w:i/>
          <w:color w:val="000000"/>
          <w:sz w:val="24"/>
          <w:szCs w:val="24"/>
          <w:u w:val="single"/>
        </w:rPr>
        <w:t xml:space="preserve">a – </w:t>
      </w:r>
      <w:r>
        <w:rPr>
          <w:b/>
          <w:i/>
          <w:sz w:val="24"/>
          <w:szCs w:val="24"/>
          <w:u w:val="single"/>
        </w:rPr>
        <w:t>j</w:t>
      </w:r>
      <w:r>
        <w:rPr>
          <w:b/>
          <w:color w:val="000000"/>
          <w:sz w:val="24"/>
          <w:szCs w:val="24"/>
        </w:rPr>
        <w:t xml:space="preserve">: </w:t>
      </w:r>
    </w:p>
    <w:p w14:paraId="4CCD2626" w14:textId="77777777" w:rsidR="00F653A2" w:rsidRDefault="00F653A2">
      <w:pPr>
        <w:ind w:left="720" w:right="3130"/>
        <w:rPr>
          <w:b/>
          <w:color w:val="1F487C"/>
        </w:rPr>
      </w:pPr>
    </w:p>
    <w:p w14:paraId="753D5273" w14:textId="77777777" w:rsidR="00F653A2" w:rsidRDefault="00F653A2">
      <w:pPr>
        <w:ind w:left="720" w:right="3130"/>
        <w:rPr>
          <w:b/>
          <w:color w:val="1F487C"/>
        </w:rPr>
      </w:pPr>
    </w:p>
    <w:p w14:paraId="4C90ED07" w14:textId="77777777" w:rsidR="00F653A2" w:rsidRDefault="00F653A2">
      <w:pPr>
        <w:ind w:left="720" w:right="3130"/>
        <w:rPr>
          <w:b/>
          <w:color w:val="1F487C"/>
        </w:rPr>
      </w:pPr>
    </w:p>
    <w:p w14:paraId="6EE20B11" w14:textId="77777777" w:rsidR="00F653A2" w:rsidRDefault="00000000">
      <w:pPr>
        <w:ind w:right="3130"/>
        <w:rPr>
          <w:b/>
          <w:color w:val="000000"/>
        </w:rPr>
      </w:pPr>
      <w:r>
        <w:rPr>
          <w:b/>
          <w:color w:val="000000"/>
          <w:sz w:val="24"/>
          <w:szCs w:val="24"/>
          <w:u w:val="single"/>
        </w:rPr>
        <w:t>Summary</w:t>
      </w:r>
      <w:r>
        <w:rPr>
          <w:b/>
          <w:color w:val="000000"/>
          <w:sz w:val="24"/>
          <w:szCs w:val="24"/>
        </w:rPr>
        <w:t xml:space="preserve">:  </w:t>
      </w:r>
    </w:p>
    <w:sectPr w:rsidR="00F653A2" w:rsidSect="00CA1A7B">
      <w:footerReference w:type="default" r:id="rId7"/>
      <w:pgSz w:w="12240" w:h="15840"/>
      <w:pgMar w:top="500" w:right="260" w:bottom="600" w:left="2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0E9B" w14:textId="77777777" w:rsidR="00BD57BF" w:rsidRDefault="00BD57BF">
      <w:r>
        <w:separator/>
      </w:r>
    </w:p>
  </w:endnote>
  <w:endnote w:type="continuationSeparator" w:id="0">
    <w:p w14:paraId="1D9A0F3D" w14:textId="77777777" w:rsidR="00BD57BF" w:rsidRDefault="00BD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CB90" w14:textId="77777777" w:rsidR="00F653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Calibri"/>
        <w:color w:val="000000"/>
        <w:sz w:val="16"/>
        <w:szCs w:val="16"/>
      </w:rPr>
    </w:pPr>
    <w:r>
      <w:rPr>
        <w:rFonts w:eastAsia="Calibri"/>
        <w:color w:val="000000"/>
        <w:sz w:val="16"/>
        <w:szCs w:val="16"/>
      </w:rPr>
      <w:fldChar w:fldCharType="begin"/>
    </w:r>
    <w:r>
      <w:rPr>
        <w:rFonts w:eastAsia="Calibri"/>
        <w:color w:val="000000"/>
        <w:sz w:val="16"/>
        <w:szCs w:val="16"/>
      </w:rPr>
      <w:instrText>PAGE</w:instrText>
    </w:r>
    <w:r>
      <w:rPr>
        <w:rFonts w:eastAsia="Calibri"/>
        <w:color w:val="000000"/>
        <w:sz w:val="16"/>
        <w:szCs w:val="16"/>
      </w:rPr>
      <w:fldChar w:fldCharType="separate"/>
    </w:r>
    <w:r w:rsidR="00CA1A7B">
      <w:rPr>
        <w:rFonts w:eastAsia="Calibri"/>
        <w:noProof/>
        <w:color w:val="000000"/>
        <w:sz w:val="16"/>
        <w:szCs w:val="16"/>
      </w:rPr>
      <w:t>1</w:t>
    </w:r>
    <w:r>
      <w:rPr>
        <w:rFonts w:eastAsia="Calibri"/>
        <w:color w:val="000000"/>
        <w:sz w:val="16"/>
        <w:szCs w:val="16"/>
      </w:rPr>
      <w:fldChar w:fldCharType="end"/>
    </w:r>
  </w:p>
  <w:p w14:paraId="5A492F66" w14:textId="77777777" w:rsidR="00F653A2" w:rsidRDefault="00F65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EC4E" w14:textId="77777777" w:rsidR="00BD57BF" w:rsidRDefault="00BD57BF">
      <w:r>
        <w:separator/>
      </w:r>
    </w:p>
  </w:footnote>
  <w:footnote w:type="continuationSeparator" w:id="0">
    <w:p w14:paraId="77CFF38F" w14:textId="77777777" w:rsidR="00BD57BF" w:rsidRDefault="00BD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A2"/>
    <w:rsid w:val="00A5540E"/>
    <w:rsid w:val="00BD57BF"/>
    <w:rsid w:val="00CA1A7B"/>
    <w:rsid w:val="00F6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6199B"/>
  <w15:docId w15:val="{D39DBC93-11B5-CD40-8D15-16B061BC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36"/>
      <w:ind w:left="351" w:hanging="252"/>
    </w:pPr>
    <w:rPr>
      <w:rFonts w:eastAsia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4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5DA"/>
  </w:style>
  <w:style w:type="paragraph" w:styleId="Footer">
    <w:name w:val="footer"/>
    <w:basedOn w:val="Normal"/>
    <w:link w:val="FooterChar"/>
    <w:uiPriority w:val="99"/>
    <w:unhideWhenUsed/>
    <w:rsid w:val="001F3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5D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9En4pXT72q3cozGeiao+cYURRw==">AMUW2mVkcfN2qfEHlQJftayOXm8Hd1+rUtvPNo688QIs2jJaBZVjWVFRSyc23tMMuVc3iVz1erjIePWiM7521X2y9chMSpbjD/Tu41TgsTC3pM+SgtRxc30=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ssanche6</dc:creator>
  <cp:lastModifiedBy>Lindsey Brandt-Bennett</cp:lastModifiedBy>
  <cp:revision>2</cp:revision>
  <dcterms:created xsi:type="dcterms:W3CDTF">2023-04-05T21:27:00Z</dcterms:created>
  <dcterms:modified xsi:type="dcterms:W3CDTF">2023-04-05T21:27:00Z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LastSaved">
    <vt:filetime>2017-11-21T00:00:00Z</vt:filetime>
  </property>
</Properties>
</file>